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72EF37CB" w:rsidR="0099173E" w:rsidRDefault="0099173E" w:rsidP="0099173E">
      <w:pPr>
        <w:pStyle w:val="Ttul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3F33ED3E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4457"/>
      </w:tblGrid>
      <w:tr w:rsidR="00EC6615" w:rsidRPr="00EC6615" w14:paraId="2177FBF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3190EA23" w:rsidR="00EC6615" w:rsidRPr="00EC6615" w:rsidRDefault="00797961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97961">
              <w:rPr>
                <w:b/>
                <w:bCs/>
              </w:rPr>
              <w:t>PRESIDENTE (A) DE LA COMISIÓN MUNICIPAL DE DERECHOS HUMANOS.</w:t>
            </w:r>
          </w:p>
        </w:tc>
      </w:tr>
      <w:tr w:rsidR="00EC6615" w:rsidRPr="00EC6615" w14:paraId="588CA335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814717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41EC7EE1" w:rsidR="00EC6615" w:rsidRPr="00EC6615" w:rsidRDefault="00797961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97961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1F168FC2" w:rsidR="00EC6615" w:rsidRPr="00814717" w:rsidRDefault="00814717" w:rsidP="008147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NINGUNA</w:t>
            </w:r>
          </w:p>
        </w:tc>
      </w:tr>
      <w:tr w:rsidR="00EC6615" w:rsidRPr="00EC6615" w14:paraId="0E897ADC" w14:textId="77777777" w:rsidTr="00814717">
        <w:trPr>
          <w:trHeight w:val="1392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7E08" w14:textId="09917390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b) </w:t>
            </w:r>
            <w:proofErr w:type="spellStart"/>
            <w:r>
              <w:t>Supervisión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supervisión</w:t>
            </w:r>
            <w:proofErr w:type="spellEnd"/>
            <w:r>
              <w:t xml:space="preserve"> de </w:t>
            </w:r>
            <w:proofErr w:type="spellStart"/>
            <w:r>
              <w:t>alguien</w:t>
            </w:r>
            <w:proofErr w:type="spellEnd"/>
            <w:r>
              <w:t xml:space="preserve">, a </w:t>
            </w:r>
            <w:proofErr w:type="spellStart"/>
            <w:r>
              <w:t>quien</w:t>
            </w:r>
            <w:proofErr w:type="spellEnd"/>
            <w:r>
              <w:t xml:space="preserve"> le </w:t>
            </w:r>
            <w:proofErr w:type="spellStart"/>
            <w:r>
              <w:t>corresponde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  <w:r>
              <w:t xml:space="preserve"> </w:t>
            </w:r>
            <w:proofErr w:type="spellStart"/>
            <w:r>
              <w:t>indicando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CB9E" w14:textId="77777777" w:rsidR="00DF2CB4" w:rsidRPr="00DF2CB4" w:rsidRDefault="00DF2CB4" w:rsidP="00DF2CB4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  <w:p w14:paraId="2B15EB89" w14:textId="77777777" w:rsidR="00DF2CB4" w:rsidRPr="00DF2CB4" w:rsidRDefault="00DF2CB4" w:rsidP="00DF2CB4">
            <w:pPr>
              <w:widowControl/>
              <w:autoSpaceDE/>
              <w:autoSpaceDN/>
              <w:spacing w:line="276" w:lineRule="auto"/>
              <w:ind w:left="360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  <w:p w14:paraId="4BCCE567" w14:textId="77777777" w:rsidR="00EC6615" w:rsidRPr="00EE2F20" w:rsidRDefault="00DF2CB4" w:rsidP="00814717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noProof/>
                <w:sz w:val="17"/>
              </w:rPr>
              <w:drawing>
                <wp:anchor distT="0" distB="0" distL="0" distR="0" simplePos="0" relativeHeight="15728640" behindDoc="1" locked="0" layoutInCell="1" allowOverlap="1" wp14:anchorId="7F46B50B" wp14:editId="6E5831E3">
                  <wp:simplePos x="0" y="0"/>
                  <wp:positionH relativeFrom="page">
                    <wp:posOffset>-3979545</wp:posOffset>
                  </wp:positionH>
                  <wp:positionV relativeFrom="page">
                    <wp:posOffset>-3155950</wp:posOffset>
                  </wp:positionV>
                  <wp:extent cx="7436485" cy="1290637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7" cstate="print"/>
                          <a:srcRect t="11364"/>
                          <a:stretch/>
                        </pic:blipFill>
                        <pic:spPr bwMode="auto">
                          <a:xfrm>
                            <a:off x="0" y="0"/>
                            <a:ext cx="7436485" cy="1290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14717">
              <w:t>Consejo</w:t>
            </w:r>
            <w:proofErr w:type="spellEnd"/>
            <w:r w:rsidR="00814717">
              <w:t xml:space="preserve"> </w:t>
            </w:r>
            <w:proofErr w:type="spellStart"/>
            <w:r w:rsidR="00814717">
              <w:t>Ciudadano</w:t>
            </w:r>
            <w:proofErr w:type="spellEnd"/>
          </w:p>
        </w:tc>
      </w:tr>
      <w:tr w:rsidR="00EC6615" w:rsidRPr="00EC6615" w14:paraId="7D28B082" w14:textId="77777777" w:rsidTr="00814717">
        <w:trPr>
          <w:trHeight w:val="120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2CA8E848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c) Comunicaciones </w:t>
            </w:r>
            <w:proofErr w:type="spellStart"/>
            <w:r>
              <w:t>colaterales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con que </w:t>
            </w:r>
            <w:proofErr w:type="spellStart"/>
            <w:r>
              <w:t>est</w:t>
            </w:r>
            <w:r w:rsidR="00BB7C02">
              <w:t>atu</w:t>
            </w:r>
            <w:r>
              <w:t>tos</w:t>
            </w:r>
            <w:proofErr w:type="spellEnd"/>
            <w:r>
              <w:t xml:space="preserve"> de la </w:t>
            </w:r>
            <w:proofErr w:type="spellStart"/>
            <w:r>
              <w:t>organización</w:t>
            </w:r>
            <w:proofErr w:type="spellEnd"/>
            <w:r>
              <w:t xml:space="preserve"> se </w:t>
            </w:r>
            <w:proofErr w:type="spellStart"/>
            <w:r>
              <w:t>relaciona</w:t>
            </w:r>
            <w:proofErr w:type="spellEnd"/>
            <w:r>
              <w:t xml:space="preserve"> para que las </w:t>
            </w:r>
            <w:proofErr w:type="spellStart"/>
            <w:r>
              <w:t>funciones</w:t>
            </w:r>
            <w:proofErr w:type="spellEnd"/>
            <w:r>
              <w:t xml:space="preserve"> de </w:t>
            </w:r>
            <w:proofErr w:type="spellStart"/>
            <w:r>
              <w:t>este</w:t>
            </w:r>
            <w:proofErr w:type="spellEnd"/>
            <w:r>
              <w:t xml:space="preserve"> cargo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exitosas</w:t>
            </w:r>
            <w:proofErr w:type="spellEnd"/>
            <w:r>
              <w:t xml:space="preserve">, </w:t>
            </w:r>
            <w:proofErr w:type="spellStart"/>
            <w:r>
              <w:t>detallando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dependencia</w:t>
            </w:r>
            <w:proofErr w:type="spellEnd"/>
            <w:r>
              <w:t xml:space="preserve"> y </w:t>
            </w:r>
            <w:proofErr w:type="spellStart"/>
            <w:r>
              <w:t>relación</w:t>
            </w:r>
            <w:proofErr w:type="spellEnd"/>
            <w:r>
              <w:t>).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52C3" w14:textId="4E971602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814717">
              <w:rPr>
                <w:sz w:val="20"/>
                <w:szCs w:val="20"/>
              </w:rPr>
              <w:t>Secretaría</w:t>
            </w:r>
            <w:proofErr w:type="spellEnd"/>
            <w:r w:rsidRPr="00814717">
              <w:rPr>
                <w:sz w:val="20"/>
                <w:szCs w:val="20"/>
              </w:rPr>
              <w:t xml:space="preserve"> </w:t>
            </w:r>
            <w:proofErr w:type="spellStart"/>
            <w:r w:rsidRPr="00814717">
              <w:rPr>
                <w:sz w:val="20"/>
                <w:szCs w:val="20"/>
              </w:rPr>
              <w:t>Ejecutiva</w:t>
            </w:r>
            <w:proofErr w:type="spellEnd"/>
            <w:r w:rsidRPr="00814717">
              <w:rPr>
                <w:sz w:val="20"/>
                <w:szCs w:val="20"/>
              </w:rPr>
              <w:t xml:space="preserve"> de la </w:t>
            </w:r>
            <w:proofErr w:type="spellStart"/>
            <w:r w:rsidRPr="00814717">
              <w:rPr>
                <w:sz w:val="20"/>
                <w:szCs w:val="20"/>
              </w:rPr>
              <w:t>Comisión</w:t>
            </w:r>
            <w:proofErr w:type="spellEnd"/>
            <w:r w:rsidRPr="00814717">
              <w:rPr>
                <w:sz w:val="20"/>
                <w:szCs w:val="20"/>
              </w:rPr>
              <w:t xml:space="preserve">. Municipal de Derechos Humanos. </w:t>
            </w:r>
          </w:p>
          <w:p w14:paraId="1D14187F" w14:textId="69ADE0D4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4717">
              <w:rPr>
                <w:sz w:val="20"/>
                <w:szCs w:val="20"/>
                <w:lang w:val="es-MX"/>
              </w:rPr>
              <w:t>Visitaduría</w:t>
            </w:r>
            <w:r w:rsidRPr="00814717">
              <w:rPr>
                <w:sz w:val="20"/>
                <w:szCs w:val="20"/>
              </w:rPr>
              <w:t xml:space="preserve"> General de la </w:t>
            </w:r>
            <w:proofErr w:type="spellStart"/>
            <w:r w:rsidRPr="00814717">
              <w:rPr>
                <w:sz w:val="20"/>
                <w:szCs w:val="20"/>
              </w:rPr>
              <w:t>Comisión</w:t>
            </w:r>
            <w:proofErr w:type="spellEnd"/>
            <w:r w:rsidRPr="00814717">
              <w:rPr>
                <w:sz w:val="20"/>
                <w:szCs w:val="20"/>
              </w:rPr>
              <w:t xml:space="preserve"> Municipal de Derechos Humanos.</w:t>
            </w:r>
          </w:p>
          <w:p w14:paraId="7AFE0B3D" w14:textId="58FC7F56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4717">
              <w:rPr>
                <w:sz w:val="20"/>
                <w:szCs w:val="20"/>
              </w:rPr>
              <w:t>Promotor (a) de Derechos Humanos.</w:t>
            </w:r>
          </w:p>
          <w:p w14:paraId="2AD8E021" w14:textId="638C8EFA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4717">
              <w:rPr>
                <w:sz w:val="20"/>
                <w:szCs w:val="20"/>
              </w:rPr>
              <w:t xml:space="preserve">Contador (a)  </w:t>
            </w:r>
          </w:p>
          <w:p w14:paraId="7450DD3F" w14:textId="77777777" w:rsidR="00EC6615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4717">
              <w:rPr>
                <w:sz w:val="20"/>
                <w:szCs w:val="20"/>
              </w:rPr>
              <w:t xml:space="preserve">Auxiliar </w:t>
            </w:r>
            <w:proofErr w:type="spellStart"/>
            <w:r w:rsidRPr="00814717">
              <w:rPr>
                <w:sz w:val="20"/>
                <w:szCs w:val="20"/>
              </w:rPr>
              <w:t>contable</w:t>
            </w:r>
            <w:proofErr w:type="spellEnd"/>
          </w:p>
          <w:p w14:paraId="327993D2" w14:textId="632EE526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Coordinador </w:t>
            </w:r>
            <w:proofErr w:type="spellStart"/>
            <w:r w:rsidRPr="008147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Juridico</w:t>
            </w:r>
            <w:proofErr w:type="spellEnd"/>
          </w:p>
        </w:tc>
      </w:tr>
      <w:tr w:rsidR="00EC6615" w:rsidRPr="00EC6615" w14:paraId="6678B36E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814717">
        <w:trPr>
          <w:trHeight w:val="70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4D2E" w14:textId="77777777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Establecer</w:t>
            </w:r>
            <w:proofErr w:type="spellEnd"/>
            <w:r>
              <w:t xml:space="preserve"> los </w:t>
            </w:r>
            <w:proofErr w:type="spellStart"/>
            <w:r>
              <w:t>lineamientos</w:t>
            </w:r>
            <w:proofErr w:type="spellEnd"/>
            <w:r>
              <w:t xml:space="preserve"> </w:t>
            </w:r>
            <w:proofErr w:type="spellStart"/>
            <w:r>
              <w:t>internos</w:t>
            </w:r>
            <w:proofErr w:type="spellEnd"/>
            <w:r>
              <w:t xml:space="preserve"> a los que se </w:t>
            </w:r>
            <w:proofErr w:type="spellStart"/>
            <w:r>
              <w:t>sujetarán</w:t>
            </w:r>
            <w:proofErr w:type="spellEnd"/>
            <w:r>
              <w:t xml:space="preserve">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administrativas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>.</w:t>
            </w:r>
          </w:p>
          <w:p w14:paraId="218487EE" w14:textId="70992BD8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Representar</w:t>
            </w:r>
            <w:proofErr w:type="spellEnd"/>
            <w:r>
              <w:t xml:space="preserve"> </w:t>
            </w:r>
            <w:proofErr w:type="spellStart"/>
            <w:r>
              <w:t>legalmente</w:t>
            </w:r>
            <w:proofErr w:type="spellEnd"/>
            <w:r>
              <w:t xml:space="preserve"> a la </w:t>
            </w:r>
            <w:proofErr w:type="spellStart"/>
            <w:r>
              <w:t>Comisión</w:t>
            </w:r>
            <w:proofErr w:type="spellEnd"/>
            <w:r>
              <w:t xml:space="preserve"> para </w:t>
            </w:r>
            <w:proofErr w:type="spellStart"/>
            <w:r>
              <w:t>todos</w:t>
            </w:r>
            <w:proofErr w:type="spellEnd"/>
            <w:r>
              <w:t xml:space="preserve"> los </w:t>
            </w:r>
            <w:proofErr w:type="spellStart"/>
            <w:r>
              <w:t>asuntos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competencia</w:t>
            </w:r>
            <w:proofErr w:type="spellEnd"/>
            <w:r>
              <w:t>.</w:t>
            </w:r>
          </w:p>
          <w:p w14:paraId="104E770E" w14:textId="484CC498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Nombrar</w:t>
            </w:r>
            <w:proofErr w:type="spellEnd"/>
            <w:r>
              <w:t xml:space="preserve"> y </w:t>
            </w:r>
            <w:proofErr w:type="spellStart"/>
            <w:r>
              <w:t>coordinar</w:t>
            </w:r>
            <w:proofErr w:type="spellEnd"/>
            <w:r>
              <w:t xml:space="preserve"> a los </w:t>
            </w:r>
            <w:proofErr w:type="spellStart"/>
            <w:r>
              <w:t>funcionarios</w:t>
            </w:r>
            <w:proofErr w:type="spellEnd"/>
            <w:r>
              <w:t xml:space="preserve"> y al personal bajo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autoridad</w:t>
            </w:r>
            <w:proofErr w:type="spellEnd"/>
            <w:r>
              <w:t>.</w:t>
            </w:r>
          </w:p>
          <w:p w14:paraId="2618B2CC" w14:textId="441ED3A2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Presentar</w:t>
            </w:r>
            <w:proofErr w:type="spellEnd"/>
            <w:r>
              <w:t xml:space="preserve"> un </w:t>
            </w:r>
            <w:proofErr w:type="spellStart"/>
            <w:r>
              <w:t>informe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al H. </w:t>
            </w:r>
            <w:proofErr w:type="spellStart"/>
            <w:r>
              <w:t>Ayuntamiento</w:t>
            </w:r>
            <w:proofErr w:type="spellEnd"/>
            <w:r>
              <w:t xml:space="preserve"> de Bahía de Banderas, Nayarit.</w:t>
            </w:r>
          </w:p>
          <w:p w14:paraId="5BBB7E93" w14:textId="6DA9D493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Coordinar</w:t>
            </w:r>
            <w:proofErr w:type="spellEnd"/>
            <w:r>
              <w:t xml:space="preserve"> la </w:t>
            </w:r>
            <w:proofErr w:type="spellStart"/>
            <w:r>
              <w:t>defensa</w:t>
            </w:r>
            <w:proofErr w:type="spellEnd"/>
            <w:r>
              <w:t xml:space="preserve"> y </w:t>
            </w:r>
            <w:proofErr w:type="spellStart"/>
            <w:r>
              <w:t>promoción</w:t>
            </w:r>
            <w:proofErr w:type="spellEnd"/>
            <w:r>
              <w:t xml:space="preserve"> de los Derechos Humanos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Municipio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demarcación</w:t>
            </w:r>
            <w:proofErr w:type="spellEnd"/>
            <w:r>
              <w:t xml:space="preserve"> con la </w:t>
            </w:r>
            <w:proofErr w:type="spellStart"/>
            <w:r>
              <w:t>Comisión</w:t>
            </w:r>
            <w:proofErr w:type="spellEnd"/>
            <w:r>
              <w:t xml:space="preserve"> de </w:t>
            </w:r>
            <w:proofErr w:type="spellStart"/>
            <w:r>
              <w:t>Defensa</w:t>
            </w:r>
            <w:proofErr w:type="spellEnd"/>
            <w:r>
              <w:t xml:space="preserve"> de los Derechos Humanos del Estado de Nayarit </w:t>
            </w:r>
            <w:proofErr w:type="spellStart"/>
            <w:r>
              <w:t>así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con la </w:t>
            </w:r>
            <w:proofErr w:type="spellStart"/>
            <w:r>
              <w:t>Comisión</w:t>
            </w:r>
            <w:proofErr w:type="spellEnd"/>
            <w:r>
              <w:t xml:space="preserve"> Nacional de los Derechos Humanos.</w:t>
            </w:r>
          </w:p>
          <w:p w14:paraId="17EB0CA1" w14:textId="51EE2931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Elaborar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anteproyecto</w:t>
            </w:r>
            <w:proofErr w:type="spellEnd"/>
            <w:r>
              <w:t xml:space="preserve"> de </w:t>
            </w:r>
            <w:proofErr w:type="spellStart"/>
            <w:r>
              <w:t>presupuesto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de </w:t>
            </w:r>
            <w:proofErr w:type="spellStart"/>
            <w:r>
              <w:t>egresos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informe</w:t>
            </w:r>
            <w:proofErr w:type="spellEnd"/>
            <w:r>
              <w:t xml:space="preserve"> del </w:t>
            </w:r>
            <w:proofErr w:type="spellStart"/>
            <w:r>
              <w:t>ejercicio</w:t>
            </w:r>
            <w:proofErr w:type="spellEnd"/>
            <w:r>
              <w:t xml:space="preserve">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hecho</w:t>
            </w:r>
            <w:proofErr w:type="spellEnd"/>
            <w:r>
              <w:t xml:space="preserve"> del </w:t>
            </w:r>
            <w:proofErr w:type="spellStart"/>
            <w:r>
              <w:t>mismo</w:t>
            </w:r>
            <w:proofErr w:type="spellEnd"/>
            <w:r>
              <w:t>.</w:t>
            </w:r>
          </w:p>
          <w:p w14:paraId="352CC74C" w14:textId="147E41FC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Dirigir</w:t>
            </w:r>
            <w:proofErr w:type="spellEnd"/>
            <w:r>
              <w:t xml:space="preserve"> las </w:t>
            </w:r>
            <w:proofErr w:type="spellStart"/>
            <w:r>
              <w:t>recomendaciones</w:t>
            </w:r>
            <w:proofErr w:type="spellEnd"/>
            <w:r>
              <w:t xml:space="preserve"> a las </w:t>
            </w:r>
            <w:proofErr w:type="spellStart"/>
            <w:r>
              <w:t>autoridades</w:t>
            </w:r>
            <w:proofErr w:type="spellEnd"/>
            <w:r>
              <w:t xml:space="preserve"> que </w:t>
            </w:r>
            <w:proofErr w:type="spellStart"/>
            <w:r>
              <w:t>violen</w:t>
            </w:r>
            <w:proofErr w:type="spellEnd"/>
            <w:r>
              <w:t xml:space="preserve"> los Derechos Humanos.</w:t>
            </w:r>
          </w:p>
          <w:p w14:paraId="511C5755" w14:textId="2E861474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Celebrar</w:t>
            </w:r>
            <w:proofErr w:type="spellEnd"/>
            <w:r>
              <w:t xml:space="preserve"> </w:t>
            </w:r>
            <w:proofErr w:type="spellStart"/>
            <w:r>
              <w:t>convenios</w:t>
            </w:r>
            <w:proofErr w:type="spellEnd"/>
            <w:r>
              <w:t xml:space="preserve"> de </w:t>
            </w:r>
            <w:proofErr w:type="spellStart"/>
            <w:r>
              <w:t>colaboración</w:t>
            </w:r>
            <w:proofErr w:type="spellEnd"/>
            <w:r>
              <w:t xml:space="preserve"> con las </w:t>
            </w:r>
            <w:proofErr w:type="spellStart"/>
            <w:r>
              <w:t>Comisiones</w:t>
            </w:r>
            <w:proofErr w:type="spellEnd"/>
            <w:r>
              <w:t xml:space="preserve"> de Derechos Humanos </w:t>
            </w:r>
            <w:proofErr w:type="spellStart"/>
            <w:r>
              <w:t>Estatal</w:t>
            </w:r>
            <w:proofErr w:type="spellEnd"/>
            <w:r>
              <w:t xml:space="preserve"> y Nacional.</w:t>
            </w:r>
          </w:p>
          <w:p w14:paraId="194420DD" w14:textId="68CB642E" w:rsidR="00EC6615" w:rsidRPr="00EE2F20" w:rsidRDefault="00814717" w:rsidP="00814717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Las </w:t>
            </w:r>
            <w:proofErr w:type="spellStart"/>
            <w:r>
              <w:t>demás</w:t>
            </w:r>
            <w:proofErr w:type="spellEnd"/>
            <w:r>
              <w:t xml:space="preserve"> que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necesarias</w:t>
            </w:r>
            <w:proofErr w:type="spellEnd"/>
            <w:r>
              <w:t xml:space="preserve"> para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 </w:t>
            </w:r>
            <w:proofErr w:type="spellStart"/>
            <w:r>
              <w:t>cumplimiento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encargo</w:t>
            </w:r>
            <w:proofErr w:type="spellEnd"/>
            <w:r>
              <w:t>.</w:t>
            </w:r>
          </w:p>
        </w:tc>
      </w:tr>
      <w:tr w:rsidR="00EC6615" w:rsidRPr="00EC6615" w14:paraId="58F57676" w14:textId="77777777" w:rsidTr="00814717">
        <w:trPr>
          <w:trHeight w:val="278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240A" w14:textId="765D6882" w:rsidR="00EC6615" w:rsidRPr="00814717" w:rsidRDefault="00EC6615" w:rsidP="0081471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</w:tr>
      <w:tr w:rsidR="00EC6615" w:rsidRPr="00EC6615" w14:paraId="5EC351C3" w14:textId="77777777" w:rsidTr="00814717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814717">
        <w:trPr>
          <w:trHeight w:val="23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4621" w14:textId="5CAB8797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Ser </w:t>
            </w:r>
            <w:proofErr w:type="spellStart"/>
            <w:r>
              <w:t>ciudadano</w:t>
            </w:r>
            <w:proofErr w:type="spellEnd"/>
            <w:r>
              <w:t xml:space="preserve"> </w:t>
            </w:r>
            <w:proofErr w:type="spellStart"/>
            <w:r>
              <w:t>mexicano</w:t>
            </w:r>
            <w:proofErr w:type="spellEnd"/>
            <w:r>
              <w:t xml:space="preserve"> por </w:t>
            </w:r>
            <w:proofErr w:type="spellStart"/>
            <w:r>
              <w:t>nacimiento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pleno</w:t>
            </w:r>
            <w:proofErr w:type="spellEnd"/>
            <w:r>
              <w:t xml:space="preserve"> </w:t>
            </w:r>
            <w:proofErr w:type="spellStart"/>
            <w:r>
              <w:t>ejercicio</w:t>
            </w:r>
            <w:proofErr w:type="spellEnd"/>
            <w:r>
              <w:t xml:space="preserve"> de sus derechos </w:t>
            </w:r>
            <w:proofErr w:type="spellStart"/>
            <w:r>
              <w:t>políticos</w:t>
            </w:r>
            <w:proofErr w:type="spellEnd"/>
            <w:r>
              <w:t xml:space="preserve"> y </w:t>
            </w:r>
            <w:proofErr w:type="spellStart"/>
            <w:r>
              <w:t>civiles</w:t>
            </w:r>
            <w:proofErr w:type="spellEnd"/>
            <w:r>
              <w:t xml:space="preserve">; </w:t>
            </w:r>
          </w:p>
          <w:p w14:paraId="068708D8" w14:textId="0051C97E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</w:t>
            </w:r>
            <w:proofErr w:type="spellStart"/>
            <w:r>
              <w:t>cuando</w:t>
            </w:r>
            <w:proofErr w:type="spellEnd"/>
            <w:r>
              <w:t xml:space="preserve"> </w:t>
            </w:r>
            <w:proofErr w:type="spellStart"/>
            <w:r>
              <w:t>menos</w:t>
            </w:r>
            <w:proofErr w:type="spellEnd"/>
            <w:r>
              <w:t xml:space="preserve"> 35 </w:t>
            </w:r>
            <w:proofErr w:type="spellStart"/>
            <w:r>
              <w:t>años</w:t>
            </w:r>
            <w:proofErr w:type="spellEnd"/>
            <w:r>
              <w:t xml:space="preserve"> de </w:t>
            </w:r>
            <w:proofErr w:type="spellStart"/>
            <w:r>
              <w:t>edad</w:t>
            </w:r>
            <w:proofErr w:type="spellEnd"/>
            <w:r>
              <w:t xml:space="preserve"> </w:t>
            </w:r>
            <w:proofErr w:type="spellStart"/>
            <w:r>
              <w:t>cumplidos</w:t>
            </w:r>
            <w:proofErr w:type="spellEnd"/>
            <w:r>
              <w:t xml:space="preserve"> al día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designación</w:t>
            </w:r>
            <w:proofErr w:type="spellEnd"/>
            <w:r>
              <w:t>;</w:t>
            </w:r>
          </w:p>
          <w:p w14:paraId="20807224" w14:textId="477670CB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 </w:t>
            </w:r>
            <w:proofErr w:type="spellStart"/>
            <w:r>
              <w:t>Poseer</w:t>
            </w:r>
            <w:proofErr w:type="spellEnd"/>
            <w:r>
              <w:t xml:space="preserve"> al día de la </w:t>
            </w:r>
            <w:proofErr w:type="spellStart"/>
            <w:r>
              <w:t>designación</w:t>
            </w:r>
            <w:proofErr w:type="spellEnd"/>
            <w:r>
              <w:t xml:space="preserve">, con </w:t>
            </w:r>
            <w:proofErr w:type="spellStart"/>
            <w:r>
              <w:t>antigüedad</w:t>
            </w:r>
            <w:proofErr w:type="spellEnd"/>
            <w:r>
              <w:t xml:space="preserve"> </w:t>
            </w:r>
            <w:proofErr w:type="spellStart"/>
            <w:r>
              <w:t>mínima</w:t>
            </w:r>
            <w:proofErr w:type="spellEnd"/>
            <w:r>
              <w:t xml:space="preserve"> de </w:t>
            </w:r>
            <w:proofErr w:type="spellStart"/>
            <w:r>
              <w:t>diez</w:t>
            </w:r>
            <w:proofErr w:type="spellEnd"/>
            <w:r>
              <w:t xml:space="preserve"> </w:t>
            </w:r>
            <w:proofErr w:type="spellStart"/>
            <w:r>
              <w:t>años</w:t>
            </w:r>
            <w:proofErr w:type="spellEnd"/>
            <w:r>
              <w:t xml:space="preserve">, </w:t>
            </w:r>
            <w:proofErr w:type="spellStart"/>
            <w:r>
              <w:t>título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de Abogado o </w:t>
            </w:r>
            <w:proofErr w:type="spellStart"/>
            <w:r>
              <w:t>Licenciado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Derecho, </w:t>
            </w:r>
            <w:proofErr w:type="spellStart"/>
            <w:r>
              <w:t>expedido</w:t>
            </w:r>
            <w:proofErr w:type="spellEnd"/>
            <w:r>
              <w:t xml:space="preserve"> por </w:t>
            </w:r>
            <w:proofErr w:type="spellStart"/>
            <w:r>
              <w:t>autoridad</w:t>
            </w:r>
            <w:proofErr w:type="spellEnd"/>
            <w:r>
              <w:t xml:space="preserve"> o </w:t>
            </w:r>
            <w:proofErr w:type="spellStart"/>
            <w:r>
              <w:t>Institución</w:t>
            </w:r>
            <w:proofErr w:type="spellEnd"/>
            <w:r>
              <w:t xml:space="preserve"> </w:t>
            </w:r>
            <w:proofErr w:type="spellStart"/>
            <w:r>
              <w:t>legalmente</w:t>
            </w:r>
            <w:proofErr w:type="spellEnd"/>
            <w:r>
              <w:t xml:space="preserve"> </w:t>
            </w:r>
            <w:proofErr w:type="spellStart"/>
            <w:r>
              <w:t>autorizada</w:t>
            </w:r>
            <w:proofErr w:type="spellEnd"/>
            <w:r>
              <w:t xml:space="preserve"> para </w:t>
            </w:r>
            <w:proofErr w:type="spellStart"/>
            <w:r>
              <w:t>ello</w:t>
            </w:r>
            <w:proofErr w:type="spellEnd"/>
            <w:r>
              <w:t>;</w:t>
            </w:r>
          </w:p>
          <w:p w14:paraId="085966FA" w14:textId="54CC94D4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 </w:t>
            </w:r>
            <w:proofErr w:type="spellStart"/>
            <w:r>
              <w:t>Gozar</w:t>
            </w:r>
            <w:proofErr w:type="spellEnd"/>
            <w:r>
              <w:t xml:space="preserve"> de </w:t>
            </w:r>
            <w:proofErr w:type="spellStart"/>
            <w:r>
              <w:t>buena</w:t>
            </w:r>
            <w:proofErr w:type="spellEnd"/>
            <w:r>
              <w:t xml:space="preserve"> </w:t>
            </w:r>
            <w:proofErr w:type="spellStart"/>
            <w:r>
              <w:t>reputación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sociedad</w:t>
            </w:r>
            <w:proofErr w:type="spellEnd"/>
            <w:r>
              <w:t xml:space="preserve"> y 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condenado</w:t>
            </w:r>
            <w:proofErr w:type="spellEnd"/>
            <w:r>
              <w:t xml:space="preserve"> por </w:t>
            </w:r>
            <w:proofErr w:type="spellStart"/>
            <w:r>
              <w:t>delito</w:t>
            </w:r>
            <w:proofErr w:type="spellEnd"/>
            <w:r>
              <w:t xml:space="preserve"> </w:t>
            </w:r>
            <w:proofErr w:type="spellStart"/>
            <w:r>
              <w:t>doloso</w:t>
            </w:r>
            <w:proofErr w:type="spellEnd"/>
            <w:r>
              <w:t xml:space="preserve"> que </w:t>
            </w:r>
            <w:proofErr w:type="spellStart"/>
            <w:r>
              <w:t>amerite</w:t>
            </w:r>
            <w:proofErr w:type="spellEnd"/>
            <w:r>
              <w:t xml:space="preserve"> </w:t>
            </w:r>
            <w:proofErr w:type="spellStart"/>
            <w:r>
              <w:t>pena</w:t>
            </w:r>
            <w:proofErr w:type="spellEnd"/>
            <w:r>
              <w:t xml:space="preserve"> de </w:t>
            </w:r>
            <w:proofErr w:type="spellStart"/>
            <w:r>
              <w:t>prisión</w:t>
            </w:r>
            <w:proofErr w:type="spellEnd"/>
            <w:r>
              <w:t xml:space="preserve"> de </w:t>
            </w:r>
            <w:proofErr w:type="spellStart"/>
            <w:r>
              <w:t>más</w:t>
            </w:r>
            <w:proofErr w:type="spellEnd"/>
            <w:r>
              <w:t xml:space="preserve"> de un </w:t>
            </w:r>
            <w:proofErr w:type="spellStart"/>
            <w:r>
              <w:t>año</w:t>
            </w:r>
            <w:proofErr w:type="spellEnd"/>
            <w:r>
              <w:t xml:space="preserve">;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se </w:t>
            </w:r>
            <w:proofErr w:type="spellStart"/>
            <w:r>
              <w:t>tratare</w:t>
            </w:r>
            <w:proofErr w:type="spellEnd"/>
            <w:r>
              <w:t xml:space="preserve"> de </w:t>
            </w:r>
            <w:proofErr w:type="spellStart"/>
            <w:r>
              <w:t>robo</w:t>
            </w:r>
            <w:proofErr w:type="spellEnd"/>
            <w:r>
              <w:t xml:space="preserve">, </w:t>
            </w:r>
            <w:proofErr w:type="spellStart"/>
            <w:r>
              <w:t>fraude</w:t>
            </w:r>
            <w:proofErr w:type="spellEnd"/>
            <w:r>
              <w:t xml:space="preserve">, </w:t>
            </w:r>
            <w:proofErr w:type="spellStart"/>
            <w:r>
              <w:t>falsificación</w:t>
            </w:r>
            <w:proofErr w:type="spellEnd"/>
            <w:r>
              <w:t xml:space="preserve">, </w:t>
            </w:r>
            <w:proofErr w:type="spellStart"/>
            <w:r>
              <w:t>abuso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u </w:t>
            </w:r>
            <w:proofErr w:type="spellStart"/>
            <w:r>
              <w:t>otro</w:t>
            </w:r>
            <w:proofErr w:type="spellEnd"/>
            <w:r>
              <w:t xml:space="preserve"> que </w:t>
            </w:r>
            <w:proofErr w:type="spellStart"/>
            <w:r>
              <w:t>lastime</w:t>
            </w:r>
            <w:proofErr w:type="spellEnd"/>
            <w:r>
              <w:t xml:space="preserve"> la </w:t>
            </w:r>
            <w:proofErr w:type="spellStart"/>
            <w:r>
              <w:t>buena</w:t>
            </w:r>
            <w:proofErr w:type="spellEnd"/>
            <w:r>
              <w:t xml:space="preserve"> </w:t>
            </w:r>
            <w:proofErr w:type="spellStart"/>
            <w:r>
              <w:t>fama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concepto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, </w:t>
            </w:r>
            <w:proofErr w:type="spellStart"/>
            <w:r>
              <w:t>quedaría</w:t>
            </w:r>
            <w:proofErr w:type="spellEnd"/>
            <w:r>
              <w:t xml:space="preserve"> </w:t>
            </w:r>
            <w:proofErr w:type="spellStart"/>
            <w:r>
              <w:t>inhabilitado</w:t>
            </w:r>
            <w:proofErr w:type="spellEnd"/>
            <w:r>
              <w:t xml:space="preserve"> para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cualquiera</w:t>
            </w:r>
            <w:proofErr w:type="spellEnd"/>
            <w:r>
              <w:t xml:space="preserve">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la </w:t>
            </w:r>
            <w:proofErr w:type="spellStart"/>
            <w:r>
              <w:t>pena</w:t>
            </w:r>
            <w:proofErr w:type="spellEnd"/>
            <w:r>
              <w:t>;</w:t>
            </w:r>
          </w:p>
          <w:p w14:paraId="15D05B83" w14:textId="21F420D3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 Haber </w:t>
            </w:r>
            <w:proofErr w:type="spellStart"/>
            <w:r>
              <w:t>residido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Estado </w:t>
            </w:r>
            <w:proofErr w:type="spellStart"/>
            <w:r>
              <w:t>cuando</w:t>
            </w:r>
            <w:proofErr w:type="spellEnd"/>
            <w:r>
              <w:t xml:space="preserve"> </w:t>
            </w:r>
            <w:proofErr w:type="spellStart"/>
            <w:r>
              <w:t>menos</w:t>
            </w:r>
            <w:proofErr w:type="spellEnd"/>
            <w:r>
              <w:t xml:space="preserve"> los 2 </w:t>
            </w:r>
            <w:proofErr w:type="spellStart"/>
            <w:r>
              <w:t>años</w:t>
            </w:r>
            <w:proofErr w:type="spellEnd"/>
            <w:r>
              <w:t xml:space="preserve"> </w:t>
            </w:r>
            <w:proofErr w:type="spellStart"/>
            <w:r>
              <w:t>anteriores</w:t>
            </w:r>
            <w:proofErr w:type="spellEnd"/>
            <w:r>
              <w:t xml:space="preserve"> a la </w:t>
            </w:r>
            <w:proofErr w:type="spellStart"/>
            <w:r>
              <w:t>fecha</w:t>
            </w:r>
            <w:proofErr w:type="spellEnd"/>
            <w:r>
              <w:t xml:space="preserve"> de la </w:t>
            </w:r>
            <w:proofErr w:type="spellStart"/>
            <w:r>
              <w:t>designación</w:t>
            </w:r>
            <w:proofErr w:type="spellEnd"/>
            <w:r>
              <w:t>.</w:t>
            </w:r>
          </w:p>
          <w:p w14:paraId="1A133EC8" w14:textId="2D9C0084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Secretario</w:t>
            </w:r>
            <w:proofErr w:type="spellEnd"/>
            <w:r>
              <w:t xml:space="preserve"> del </w:t>
            </w:r>
            <w:proofErr w:type="spellStart"/>
            <w:r>
              <w:t>Despacho</w:t>
            </w:r>
            <w:proofErr w:type="spellEnd"/>
            <w:r>
              <w:t xml:space="preserve"> del </w:t>
            </w:r>
            <w:proofErr w:type="spellStart"/>
            <w:r>
              <w:t>Poder</w:t>
            </w:r>
            <w:proofErr w:type="spellEnd"/>
            <w:r>
              <w:t xml:space="preserve"> </w:t>
            </w:r>
            <w:proofErr w:type="spellStart"/>
            <w:r>
              <w:t>Ejecutivo</w:t>
            </w:r>
            <w:proofErr w:type="spellEnd"/>
            <w:r>
              <w:t xml:space="preserve"> o </w:t>
            </w:r>
            <w:proofErr w:type="spellStart"/>
            <w:r>
              <w:t>Procurador</w:t>
            </w:r>
            <w:proofErr w:type="spellEnd"/>
            <w:r>
              <w:t xml:space="preserve"> General de Justicia del Estado, </w:t>
            </w:r>
            <w:proofErr w:type="spellStart"/>
            <w:r>
              <w:t>durante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año</w:t>
            </w:r>
            <w:proofErr w:type="spellEnd"/>
            <w:r>
              <w:t xml:space="preserve"> </w:t>
            </w:r>
            <w:proofErr w:type="spellStart"/>
            <w:r>
              <w:t>previo</w:t>
            </w:r>
            <w:proofErr w:type="spellEnd"/>
            <w:r>
              <w:t xml:space="preserve"> al día de la </w:t>
            </w:r>
            <w:proofErr w:type="spellStart"/>
            <w:r>
              <w:t>designación</w:t>
            </w:r>
            <w:proofErr w:type="spellEnd"/>
            <w:r>
              <w:t>.</w:t>
            </w:r>
          </w:p>
          <w:p w14:paraId="4334E366" w14:textId="4AD4C4A6" w:rsidR="00814717" w:rsidRPr="00814717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 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dirigente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 xml:space="preserve">, </w:t>
            </w:r>
            <w:proofErr w:type="spellStart"/>
            <w:r>
              <w:t>estatal</w:t>
            </w:r>
            <w:proofErr w:type="spellEnd"/>
            <w:r>
              <w:t xml:space="preserve"> o municipal de </w:t>
            </w:r>
            <w:proofErr w:type="spellStart"/>
            <w:r>
              <w:t>partido</w:t>
            </w:r>
            <w:proofErr w:type="spellEnd"/>
            <w:r>
              <w:t xml:space="preserve"> o </w:t>
            </w:r>
            <w:proofErr w:type="spellStart"/>
            <w:r>
              <w:t>asociación</w:t>
            </w:r>
            <w:proofErr w:type="spellEnd"/>
            <w:r>
              <w:t xml:space="preserve"> </w:t>
            </w:r>
            <w:proofErr w:type="spellStart"/>
            <w:r>
              <w:t>política</w:t>
            </w:r>
            <w:proofErr w:type="spellEnd"/>
            <w:r>
              <w:t xml:space="preserve">, </w:t>
            </w:r>
            <w:proofErr w:type="spellStart"/>
            <w:r>
              <w:t>durante</w:t>
            </w:r>
            <w:proofErr w:type="spellEnd"/>
            <w:r>
              <w:t xml:space="preserve"> los </w:t>
            </w:r>
            <w:proofErr w:type="spellStart"/>
            <w:r>
              <w:t>últimos</w:t>
            </w:r>
            <w:proofErr w:type="spellEnd"/>
            <w:r>
              <w:t xml:space="preserve"> seis </w:t>
            </w:r>
            <w:proofErr w:type="spellStart"/>
            <w:r>
              <w:t>años</w:t>
            </w:r>
            <w:proofErr w:type="spellEnd"/>
            <w:r>
              <w:t xml:space="preserve">. </w:t>
            </w:r>
          </w:p>
          <w:p w14:paraId="062486CD" w14:textId="36753DE8" w:rsidR="00EC6615" w:rsidRPr="00EE2F20" w:rsidRDefault="00814717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No </w:t>
            </w:r>
            <w:proofErr w:type="spellStart"/>
            <w:r>
              <w:t>desempeñar</w:t>
            </w:r>
            <w:proofErr w:type="spellEnd"/>
            <w:r>
              <w:t xml:space="preserve">,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desempeñado</w:t>
            </w:r>
            <w:proofErr w:type="spellEnd"/>
            <w:r>
              <w:t xml:space="preserve"> cargo de </w:t>
            </w:r>
            <w:proofErr w:type="spellStart"/>
            <w:r>
              <w:t>elección</w:t>
            </w:r>
            <w:proofErr w:type="spellEnd"/>
            <w:r>
              <w:t xml:space="preserve"> popular </w:t>
            </w:r>
            <w:proofErr w:type="spellStart"/>
            <w:r>
              <w:t>en</w:t>
            </w:r>
            <w:proofErr w:type="spellEnd"/>
            <w:r>
              <w:t xml:space="preserve"> los </w:t>
            </w:r>
            <w:proofErr w:type="spellStart"/>
            <w:r>
              <w:t>últimos</w:t>
            </w:r>
            <w:proofErr w:type="spellEnd"/>
            <w:r>
              <w:t xml:space="preserve"> seis </w:t>
            </w:r>
            <w:proofErr w:type="spellStart"/>
            <w:r>
              <w:t>años</w:t>
            </w:r>
            <w:proofErr w:type="spellEnd"/>
            <w:r>
              <w:t>.</w:t>
            </w:r>
          </w:p>
        </w:tc>
      </w:tr>
    </w:tbl>
    <w:p w14:paraId="00956B6C" w14:textId="07190136" w:rsidR="009843A2" w:rsidRDefault="009843A2" w:rsidP="0099173E">
      <w:pPr>
        <w:pStyle w:val="Ttulo"/>
        <w:jc w:val="center"/>
        <w:rPr>
          <w:sz w:val="17"/>
        </w:rPr>
      </w:pPr>
    </w:p>
    <w:sectPr w:rsidR="009843A2" w:rsidSect="00814717">
      <w:type w:val="continuous"/>
      <w:pgSz w:w="12240" w:h="20160" w:code="5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B42C805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200D3"/>
    <w:rsid w:val="0043300F"/>
    <w:rsid w:val="00797961"/>
    <w:rsid w:val="00814717"/>
    <w:rsid w:val="00982653"/>
    <w:rsid w:val="009843A2"/>
    <w:rsid w:val="0099173E"/>
    <w:rsid w:val="00BB7C02"/>
    <w:rsid w:val="00DF2CB4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2AE2-2422-49B6-9645-FD3B4BB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4</cp:revision>
  <dcterms:created xsi:type="dcterms:W3CDTF">2025-05-26T18:47:00Z</dcterms:created>
  <dcterms:modified xsi:type="dcterms:W3CDTF">2025-05-27T19:11:00Z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